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77" w:rsidRPr="00172277" w:rsidRDefault="00172277" w:rsidP="00172277">
      <w:pPr>
        <w:tabs>
          <w:tab w:val="left" w:pos="851"/>
          <w:tab w:val="left" w:pos="1418"/>
          <w:tab w:val="left" w:pos="2126"/>
        </w:tabs>
        <w:spacing w:after="0" w:line="240" w:lineRule="auto"/>
        <w:ind w:right="567"/>
        <w:jc w:val="center"/>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TERRORISM (PREVENTATIVE DETENTION) (SUPREME COURT) RULES 2006</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Cs w:val="24"/>
          <w:lang w:eastAsia="en-AU"/>
        </w:rPr>
      </w:pPr>
      <w:r w:rsidRPr="00172277">
        <w:rPr>
          <w:rFonts w:ascii="Arial" w:eastAsia="Times New Roman" w:hAnsi="Arial" w:cs="Arial"/>
          <w:szCs w:val="24"/>
          <w:lang w:eastAsia="en-AU"/>
        </w:rPr>
        <w:t> </w:t>
      </w:r>
    </w:p>
    <w:p w:rsidR="00172277" w:rsidRPr="00172277" w:rsidRDefault="00172277" w:rsidP="00172277">
      <w:pPr>
        <w:tabs>
          <w:tab w:val="left" w:pos="851"/>
          <w:tab w:val="left" w:pos="1418"/>
          <w:tab w:val="left" w:pos="1701"/>
          <w:tab w:val="left" w:pos="2126"/>
          <w:tab w:val="left" w:pos="2552"/>
          <w:tab w:val="left" w:pos="2977"/>
        </w:tabs>
        <w:spacing w:after="0" w:line="240" w:lineRule="auto"/>
        <w:jc w:val="both"/>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1701"/>
          <w:tab w:val="left" w:pos="2126"/>
          <w:tab w:val="left" w:pos="2552"/>
          <w:tab w:val="left" w:pos="2977"/>
        </w:tabs>
        <w:spacing w:after="0" w:line="240" w:lineRule="auto"/>
        <w:jc w:val="both"/>
        <w:rPr>
          <w:rFonts w:ascii="Arial" w:eastAsia="Times New Roman" w:hAnsi="Arial" w:cs="Arial"/>
          <w:sz w:val="24"/>
          <w:szCs w:val="24"/>
          <w:lang w:eastAsia="en-AU"/>
        </w:rPr>
      </w:pPr>
      <w:r w:rsidRPr="00172277">
        <w:rPr>
          <w:rFonts w:ascii="Arial" w:eastAsia="Times New Roman" w:hAnsi="Arial" w:cs="Arial"/>
          <w:sz w:val="24"/>
          <w:szCs w:val="24"/>
          <w:lang w:eastAsia="en-AU"/>
        </w:rPr>
        <w:t>The</w:t>
      </w:r>
      <w:r w:rsidRPr="00172277">
        <w:rPr>
          <w:rFonts w:ascii="Arial" w:eastAsia="Times New Roman" w:hAnsi="Arial" w:cs="Arial"/>
          <w:b/>
          <w:bCs/>
          <w:sz w:val="24"/>
          <w:szCs w:val="24"/>
          <w:lang w:eastAsia="en-AU"/>
        </w:rPr>
        <w:t xml:space="preserve"> </w:t>
      </w:r>
      <w:r w:rsidRPr="00172277">
        <w:rPr>
          <w:rFonts w:ascii="Arial" w:eastAsia="Times New Roman" w:hAnsi="Arial" w:cs="Arial"/>
          <w:sz w:val="24"/>
          <w:szCs w:val="24"/>
          <w:lang w:eastAsia="en-AU"/>
        </w:rPr>
        <w:t>Terrorism (Preventative Detention) (Supreme Court) Rules 2006, dated 7 July 2006, came into operation on 27 July 2006 (</w:t>
      </w:r>
      <w:r w:rsidRPr="00172277">
        <w:rPr>
          <w:rFonts w:ascii="Arial" w:eastAsia="Times New Roman" w:hAnsi="Arial" w:cs="Arial"/>
          <w:i/>
          <w:iCs/>
          <w:sz w:val="24"/>
          <w:szCs w:val="24"/>
          <w:lang w:eastAsia="en-AU"/>
        </w:rPr>
        <w:t>South Australian Government Gazette</w:t>
      </w:r>
      <w:r w:rsidRPr="00172277">
        <w:rPr>
          <w:rFonts w:ascii="Arial" w:eastAsia="Times New Roman" w:hAnsi="Arial" w:cs="Arial"/>
          <w:sz w:val="24"/>
          <w:szCs w:val="24"/>
          <w:lang w:eastAsia="en-AU"/>
        </w:rPr>
        <w:t>, 27 July 2006, p.2426).</w:t>
      </w:r>
    </w:p>
    <w:p w:rsidR="00172277" w:rsidRPr="00172277" w:rsidRDefault="00172277" w:rsidP="00172277">
      <w:pPr>
        <w:tabs>
          <w:tab w:val="left" w:pos="851"/>
          <w:tab w:val="left" w:pos="1418"/>
          <w:tab w:val="left" w:pos="1701"/>
          <w:tab w:val="left" w:pos="2126"/>
          <w:tab w:val="left" w:pos="2552"/>
          <w:tab w:val="left" w:pos="2977"/>
        </w:tabs>
        <w:spacing w:after="0" w:line="240" w:lineRule="auto"/>
        <w:jc w:val="both"/>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1.</w:t>
      </w:r>
      <w:r w:rsidRPr="00172277">
        <w:rPr>
          <w:rFonts w:ascii="Arial" w:eastAsia="Times New Roman" w:hAnsi="Arial" w:cs="Arial"/>
          <w:b/>
          <w:bCs/>
          <w:sz w:val="24"/>
          <w:szCs w:val="24"/>
          <w:lang w:eastAsia="en-AU"/>
        </w:rPr>
        <w:tab/>
        <w:t>Short Title</w:t>
      </w:r>
    </w:p>
    <w:p w:rsidR="00172277" w:rsidRPr="00172277" w:rsidRDefault="00172277" w:rsidP="00172277">
      <w:pPr>
        <w:tabs>
          <w:tab w:val="left" w:pos="851"/>
          <w:tab w:val="left" w:pos="1418"/>
          <w:tab w:val="left" w:pos="2126"/>
        </w:tabs>
        <w:spacing w:after="0" w:line="240" w:lineRule="auto"/>
        <w:ind w:left="851" w:right="567" w:hanging="851"/>
        <w:rPr>
          <w:rFonts w:ascii="Arial" w:eastAsia="Times New Roman" w:hAnsi="Arial" w:cs="Arial"/>
          <w:i/>
          <w:iCs/>
          <w:sz w:val="24"/>
          <w:szCs w:val="24"/>
          <w:lang w:eastAsia="en-AU"/>
        </w:rPr>
      </w:pPr>
      <w:r w:rsidRPr="00172277">
        <w:rPr>
          <w:rFonts w:ascii="Arial" w:eastAsia="Times New Roman" w:hAnsi="Arial" w:cs="Arial"/>
          <w:b/>
          <w:bCs/>
          <w:sz w:val="24"/>
          <w:szCs w:val="24"/>
          <w:lang w:eastAsia="en-AU"/>
        </w:rPr>
        <w:tab/>
      </w:r>
      <w:r w:rsidRPr="00172277">
        <w:rPr>
          <w:rFonts w:ascii="Arial" w:eastAsia="Times New Roman" w:hAnsi="Arial" w:cs="Arial"/>
          <w:sz w:val="24"/>
          <w:szCs w:val="24"/>
          <w:lang w:eastAsia="en-AU"/>
        </w:rPr>
        <w:t>These Rules may be cited as the “</w:t>
      </w:r>
      <w:r w:rsidRPr="00172277">
        <w:rPr>
          <w:rFonts w:ascii="Arial" w:eastAsia="Times New Roman" w:hAnsi="Arial" w:cs="Arial"/>
          <w:i/>
          <w:iCs/>
          <w:sz w:val="24"/>
          <w:szCs w:val="24"/>
          <w:lang w:eastAsia="en-AU"/>
        </w:rPr>
        <w:t>Terrorism (Preventative Detention) (Supreme Court) Rules 2006.</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2.</w:t>
      </w:r>
      <w:r w:rsidRPr="00172277">
        <w:rPr>
          <w:rFonts w:ascii="Arial" w:eastAsia="Times New Roman" w:hAnsi="Arial" w:cs="Arial"/>
          <w:b/>
          <w:bCs/>
          <w:sz w:val="24"/>
          <w:szCs w:val="24"/>
          <w:lang w:eastAsia="en-AU"/>
        </w:rPr>
        <w:tab/>
        <w:t>Interpretation</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ab/>
        <w:t>In these rules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i/>
          <w:iCs/>
          <w:sz w:val="24"/>
          <w:szCs w:val="24"/>
          <w:lang w:eastAsia="en-AU"/>
        </w:rPr>
      </w:pPr>
      <w:r w:rsidRPr="00172277">
        <w:rPr>
          <w:rFonts w:ascii="Arial" w:eastAsia="Times New Roman" w:hAnsi="Arial" w:cs="Arial"/>
          <w:sz w:val="24"/>
          <w:szCs w:val="24"/>
          <w:lang w:eastAsia="en-AU"/>
        </w:rPr>
        <w:tab/>
      </w:r>
      <w:r w:rsidRPr="00172277">
        <w:rPr>
          <w:rFonts w:ascii="Arial" w:eastAsia="Times New Roman" w:hAnsi="Arial" w:cs="Arial"/>
          <w:b/>
          <w:bCs/>
          <w:i/>
          <w:iCs/>
          <w:sz w:val="24"/>
          <w:szCs w:val="24"/>
          <w:lang w:eastAsia="en-AU"/>
        </w:rPr>
        <w:t>Act</w:t>
      </w:r>
      <w:r w:rsidRPr="00172277">
        <w:rPr>
          <w:rFonts w:ascii="Arial" w:eastAsia="Times New Roman" w:hAnsi="Arial" w:cs="Arial"/>
          <w:b/>
          <w:bCs/>
          <w:sz w:val="24"/>
          <w:szCs w:val="24"/>
          <w:lang w:eastAsia="en-AU"/>
        </w:rPr>
        <w:t xml:space="preserve"> </w:t>
      </w:r>
      <w:r w:rsidRPr="00172277">
        <w:rPr>
          <w:rFonts w:ascii="Arial" w:eastAsia="Times New Roman" w:hAnsi="Arial" w:cs="Arial"/>
          <w:sz w:val="24"/>
          <w:szCs w:val="24"/>
          <w:lang w:eastAsia="en-AU"/>
        </w:rPr>
        <w:t xml:space="preserve">means the </w:t>
      </w:r>
      <w:r w:rsidRPr="00172277">
        <w:rPr>
          <w:rFonts w:ascii="Arial" w:eastAsia="Times New Roman" w:hAnsi="Arial" w:cs="Arial"/>
          <w:i/>
          <w:iCs/>
          <w:sz w:val="24"/>
          <w:szCs w:val="24"/>
          <w:lang w:eastAsia="en-AU"/>
        </w:rPr>
        <w:t>Terrorism (Preventative Detention) Act 2005;</w:t>
      </w:r>
    </w:p>
    <w:p w:rsidR="00172277" w:rsidRPr="00172277" w:rsidRDefault="00172277" w:rsidP="00172277">
      <w:pPr>
        <w:tabs>
          <w:tab w:val="left" w:pos="851"/>
          <w:tab w:val="left" w:pos="1418"/>
          <w:tab w:val="left" w:pos="2126"/>
        </w:tabs>
        <w:spacing w:after="60" w:line="240" w:lineRule="auto"/>
        <w:ind w:left="851" w:right="567" w:hanging="851"/>
        <w:rPr>
          <w:rFonts w:ascii="Arial" w:eastAsia="Times New Roman" w:hAnsi="Arial" w:cs="Arial"/>
          <w:sz w:val="24"/>
          <w:szCs w:val="24"/>
          <w:lang w:eastAsia="en-AU"/>
        </w:rPr>
      </w:pPr>
      <w:r w:rsidRPr="00172277">
        <w:rPr>
          <w:rFonts w:ascii="Arial" w:eastAsia="Times New Roman" w:hAnsi="Arial" w:cs="Arial"/>
          <w:b/>
          <w:bCs/>
          <w:i/>
          <w:iCs/>
          <w:sz w:val="24"/>
          <w:szCs w:val="24"/>
          <w:lang w:eastAsia="en-AU"/>
        </w:rPr>
        <w:tab/>
      </w:r>
      <w:proofErr w:type="gramStart"/>
      <w:r w:rsidRPr="00172277">
        <w:rPr>
          <w:rFonts w:ascii="Arial" w:eastAsia="Times New Roman" w:hAnsi="Arial" w:cs="Arial"/>
          <w:b/>
          <w:bCs/>
          <w:i/>
          <w:iCs/>
          <w:sz w:val="24"/>
          <w:szCs w:val="24"/>
          <w:lang w:eastAsia="en-AU"/>
        </w:rPr>
        <w:t>issuing</w:t>
      </w:r>
      <w:proofErr w:type="gramEnd"/>
      <w:r w:rsidRPr="00172277">
        <w:rPr>
          <w:rFonts w:ascii="Arial" w:eastAsia="Times New Roman" w:hAnsi="Arial" w:cs="Arial"/>
          <w:b/>
          <w:bCs/>
          <w:i/>
          <w:iCs/>
          <w:sz w:val="24"/>
          <w:szCs w:val="24"/>
          <w:lang w:eastAsia="en-AU"/>
        </w:rPr>
        <w:t xml:space="preserve"> authority </w:t>
      </w:r>
      <w:r w:rsidRPr="00172277">
        <w:rPr>
          <w:rFonts w:ascii="Arial" w:eastAsia="Times New Roman" w:hAnsi="Arial" w:cs="Arial"/>
          <w:sz w:val="24"/>
          <w:szCs w:val="24"/>
          <w:lang w:eastAsia="en-AU"/>
        </w:rPr>
        <w:t>means an issuing authority as defined in s 4 of the Act;</w:t>
      </w:r>
    </w:p>
    <w:p w:rsidR="00172277" w:rsidRPr="00172277" w:rsidRDefault="00172277" w:rsidP="00172277">
      <w:pPr>
        <w:tabs>
          <w:tab w:val="left" w:pos="851"/>
          <w:tab w:val="left" w:pos="1418"/>
          <w:tab w:val="left" w:pos="2126"/>
        </w:tabs>
        <w:spacing w:after="0" w:line="240" w:lineRule="auto"/>
        <w:ind w:left="851" w:right="567" w:hanging="851"/>
        <w:rPr>
          <w:rFonts w:ascii="Arial" w:eastAsia="Times New Roman" w:hAnsi="Arial" w:cs="Arial"/>
          <w:sz w:val="24"/>
          <w:szCs w:val="24"/>
          <w:lang w:eastAsia="en-AU"/>
        </w:rPr>
      </w:pPr>
      <w:r w:rsidRPr="00172277">
        <w:rPr>
          <w:rFonts w:ascii="Arial" w:eastAsia="Times New Roman" w:hAnsi="Arial" w:cs="Arial"/>
          <w:b/>
          <w:bCs/>
          <w:i/>
          <w:iCs/>
          <w:sz w:val="24"/>
          <w:szCs w:val="24"/>
          <w:lang w:eastAsia="en-AU"/>
        </w:rPr>
        <w:tab/>
        <w:t>Preventative Detention Order</w:t>
      </w:r>
      <w:r w:rsidRPr="00172277">
        <w:rPr>
          <w:rFonts w:ascii="Arial" w:eastAsia="Times New Roman" w:hAnsi="Arial" w:cs="Arial"/>
          <w:sz w:val="24"/>
          <w:szCs w:val="24"/>
          <w:lang w:eastAsia="en-AU"/>
        </w:rPr>
        <w:t xml:space="preserve"> means such an order made pursuant to Part 2 of the Act.</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3.</w:t>
      </w:r>
      <w:r w:rsidRPr="00172277">
        <w:rPr>
          <w:rFonts w:ascii="Arial" w:eastAsia="Times New Roman" w:hAnsi="Arial" w:cs="Arial"/>
          <w:b/>
          <w:bCs/>
          <w:sz w:val="24"/>
          <w:szCs w:val="24"/>
          <w:lang w:eastAsia="en-AU"/>
        </w:rPr>
        <w:tab/>
        <w:t>Review pursuant to s 17 of the Act</w:t>
      </w:r>
    </w:p>
    <w:p w:rsidR="00172277" w:rsidRPr="00172277" w:rsidRDefault="00172277" w:rsidP="00172277">
      <w:pPr>
        <w:tabs>
          <w:tab w:val="left" w:pos="851"/>
          <w:tab w:val="left" w:pos="1418"/>
          <w:tab w:val="left" w:pos="2126"/>
        </w:tabs>
        <w:spacing w:after="0" w:line="240" w:lineRule="auto"/>
        <w:ind w:left="851" w:right="567" w:hanging="851"/>
        <w:rPr>
          <w:rFonts w:ascii="Arial" w:eastAsia="Times New Roman" w:hAnsi="Arial" w:cs="Arial"/>
          <w:sz w:val="24"/>
          <w:szCs w:val="24"/>
          <w:lang w:eastAsia="en-AU"/>
        </w:rPr>
      </w:pPr>
      <w:r w:rsidRPr="00172277">
        <w:rPr>
          <w:rFonts w:ascii="Arial" w:eastAsia="Times New Roman" w:hAnsi="Arial" w:cs="Arial"/>
          <w:sz w:val="24"/>
          <w:szCs w:val="24"/>
          <w:lang w:eastAsia="en-AU"/>
        </w:rPr>
        <w:tab/>
        <w:t>A review pursuant to s 17 of the Act of a preventative detention order shall be conducted in accordance with these rules.</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4.</w:t>
      </w:r>
      <w:r w:rsidRPr="00172277">
        <w:rPr>
          <w:rFonts w:ascii="Arial" w:eastAsia="Times New Roman" w:hAnsi="Arial" w:cs="Arial"/>
          <w:b/>
          <w:bCs/>
          <w:sz w:val="24"/>
          <w:szCs w:val="24"/>
          <w:lang w:eastAsia="en-AU"/>
        </w:rPr>
        <w:tab/>
        <w:t>Request for review</w:t>
      </w:r>
    </w:p>
    <w:p w:rsidR="00172277" w:rsidRPr="00172277" w:rsidRDefault="00172277" w:rsidP="00172277">
      <w:pPr>
        <w:tabs>
          <w:tab w:val="left" w:pos="851"/>
          <w:tab w:val="left" w:pos="1418"/>
          <w:tab w:val="left" w:pos="2126"/>
        </w:tabs>
        <w:spacing w:after="60" w:line="240" w:lineRule="auto"/>
        <w:ind w:left="1418" w:right="567" w:hanging="1418"/>
        <w:rPr>
          <w:rFonts w:ascii="Arial" w:eastAsia="Times New Roman" w:hAnsi="Arial" w:cs="Arial"/>
          <w:sz w:val="24"/>
          <w:szCs w:val="24"/>
          <w:lang w:eastAsia="en-AU"/>
        </w:rPr>
      </w:pPr>
      <w:r w:rsidRPr="00172277">
        <w:rPr>
          <w:rFonts w:ascii="Arial" w:eastAsia="Times New Roman" w:hAnsi="Arial" w:cs="Arial"/>
          <w:sz w:val="24"/>
          <w:szCs w:val="24"/>
          <w:lang w:eastAsia="en-AU"/>
        </w:rPr>
        <w:tab/>
        <w:t>(a)</w:t>
      </w:r>
      <w:r w:rsidRPr="00172277">
        <w:rPr>
          <w:rFonts w:ascii="Arial" w:eastAsia="Times New Roman" w:hAnsi="Arial" w:cs="Arial"/>
          <w:sz w:val="24"/>
          <w:szCs w:val="24"/>
          <w:lang w:eastAsia="en-AU"/>
        </w:rPr>
        <w:tab/>
        <w:t>Before bringing the subject before the Court for the purpose of such review, the police officer detaining the subject shall make a request in writing addressed to the Chief Justice, to which is to be annexed the originals of all the documents and other materials which were before the issuing authority, including the order for preventative detention.</w:t>
      </w:r>
    </w:p>
    <w:p w:rsidR="00172277" w:rsidRPr="00172277" w:rsidRDefault="00172277" w:rsidP="00172277">
      <w:pPr>
        <w:tabs>
          <w:tab w:val="left" w:pos="851"/>
          <w:tab w:val="left" w:pos="1418"/>
          <w:tab w:val="left" w:pos="2126"/>
        </w:tabs>
        <w:spacing w:after="0" w:line="240" w:lineRule="auto"/>
        <w:ind w:left="1418" w:right="567" w:hanging="1418"/>
        <w:rPr>
          <w:rFonts w:ascii="Arial" w:eastAsia="Times New Roman" w:hAnsi="Arial" w:cs="Arial"/>
          <w:sz w:val="24"/>
          <w:szCs w:val="24"/>
          <w:lang w:eastAsia="en-AU"/>
        </w:rPr>
      </w:pPr>
      <w:r w:rsidRPr="00172277">
        <w:rPr>
          <w:rFonts w:ascii="Arial" w:eastAsia="Times New Roman" w:hAnsi="Arial" w:cs="Arial"/>
          <w:sz w:val="24"/>
          <w:szCs w:val="24"/>
          <w:lang w:eastAsia="en-AU"/>
        </w:rPr>
        <w:tab/>
        <w:t>(b)</w:t>
      </w:r>
      <w:r w:rsidRPr="00172277">
        <w:rPr>
          <w:rFonts w:ascii="Arial" w:eastAsia="Times New Roman" w:hAnsi="Arial" w:cs="Arial"/>
          <w:sz w:val="24"/>
          <w:szCs w:val="24"/>
          <w:lang w:eastAsia="en-AU"/>
        </w:rPr>
        <w:tab/>
        <w:t>The request shall state where the subject is being detained, and whether the police officer seeks any and if so what order or orders under s 18 of the Act.</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5.</w:t>
      </w:r>
      <w:r w:rsidRPr="00172277">
        <w:rPr>
          <w:rFonts w:ascii="Arial" w:eastAsia="Times New Roman" w:hAnsi="Arial" w:cs="Arial"/>
          <w:b/>
          <w:bCs/>
          <w:sz w:val="24"/>
          <w:szCs w:val="24"/>
          <w:lang w:eastAsia="en-AU"/>
        </w:rPr>
        <w:tab/>
        <w:t>Delivery of the request</w:t>
      </w:r>
    </w:p>
    <w:p w:rsidR="00172277" w:rsidRPr="00172277" w:rsidRDefault="00172277" w:rsidP="00172277">
      <w:pPr>
        <w:tabs>
          <w:tab w:val="left" w:pos="851"/>
          <w:tab w:val="left" w:pos="1418"/>
          <w:tab w:val="left" w:pos="2126"/>
        </w:tabs>
        <w:spacing w:after="0" w:line="240" w:lineRule="auto"/>
        <w:ind w:left="851" w:right="567" w:hanging="851"/>
        <w:rPr>
          <w:rFonts w:ascii="Arial" w:eastAsia="Times New Roman" w:hAnsi="Arial" w:cs="Arial"/>
          <w:sz w:val="24"/>
          <w:szCs w:val="24"/>
          <w:lang w:eastAsia="en-AU"/>
        </w:rPr>
      </w:pPr>
      <w:r w:rsidRPr="00172277">
        <w:rPr>
          <w:rFonts w:ascii="Arial" w:eastAsia="Times New Roman" w:hAnsi="Arial" w:cs="Arial"/>
          <w:sz w:val="24"/>
          <w:szCs w:val="24"/>
          <w:lang w:eastAsia="en-AU"/>
        </w:rPr>
        <w:tab/>
        <w:t xml:space="preserve">The request and accompanying documents shall be delivered to the Chief Justice or if he is not available, the most senior judge available in a sealed envelope marked “Strictly Confidential.  </w:t>
      </w:r>
      <w:proofErr w:type="gramStart"/>
      <w:r w:rsidRPr="00172277">
        <w:rPr>
          <w:rFonts w:ascii="Arial" w:eastAsia="Times New Roman" w:hAnsi="Arial" w:cs="Arial"/>
          <w:sz w:val="24"/>
          <w:szCs w:val="24"/>
          <w:lang w:eastAsia="en-AU"/>
        </w:rPr>
        <w:t>Application under the Terrorism (Preventative Detention) Act 2005.</w:t>
      </w:r>
      <w:proofErr w:type="gramEnd"/>
      <w:r w:rsidRPr="00172277">
        <w:rPr>
          <w:rFonts w:ascii="Arial" w:eastAsia="Times New Roman" w:hAnsi="Arial" w:cs="Arial"/>
          <w:sz w:val="24"/>
          <w:szCs w:val="24"/>
          <w:lang w:eastAsia="en-AU"/>
        </w:rPr>
        <w:t xml:space="preserve">  Not to be opened other than by Justice ……….</w:t>
      </w:r>
      <w:proofErr w:type="gramStart"/>
      <w:r w:rsidRPr="00172277">
        <w:rPr>
          <w:rFonts w:ascii="Arial" w:eastAsia="Times New Roman" w:hAnsi="Arial" w:cs="Arial"/>
          <w:sz w:val="24"/>
          <w:szCs w:val="24"/>
          <w:lang w:eastAsia="en-AU"/>
        </w:rPr>
        <w:t>”.</w:t>
      </w:r>
      <w:proofErr w:type="gramEnd"/>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6.</w:t>
      </w:r>
      <w:r w:rsidRPr="00172277">
        <w:rPr>
          <w:rFonts w:ascii="Arial" w:eastAsia="Times New Roman" w:hAnsi="Arial" w:cs="Arial"/>
          <w:b/>
          <w:bCs/>
          <w:sz w:val="24"/>
          <w:szCs w:val="24"/>
          <w:lang w:eastAsia="en-AU"/>
        </w:rPr>
        <w:tab/>
        <w:t>Appointment for hearing of review</w:t>
      </w:r>
    </w:p>
    <w:p w:rsidR="00172277" w:rsidRPr="00172277" w:rsidRDefault="00172277" w:rsidP="00172277">
      <w:pPr>
        <w:tabs>
          <w:tab w:val="left" w:pos="851"/>
          <w:tab w:val="left" w:pos="1418"/>
          <w:tab w:val="left" w:pos="2126"/>
        </w:tabs>
        <w:spacing w:after="0" w:line="240" w:lineRule="auto"/>
        <w:ind w:left="851" w:right="567" w:hanging="851"/>
        <w:rPr>
          <w:rFonts w:ascii="Arial" w:eastAsia="Times New Roman" w:hAnsi="Arial" w:cs="Arial"/>
          <w:sz w:val="24"/>
          <w:szCs w:val="24"/>
          <w:lang w:eastAsia="en-AU"/>
        </w:rPr>
      </w:pPr>
      <w:r w:rsidRPr="00172277">
        <w:rPr>
          <w:rFonts w:ascii="Arial" w:eastAsia="Times New Roman" w:hAnsi="Arial" w:cs="Arial"/>
          <w:sz w:val="24"/>
          <w:szCs w:val="24"/>
          <w:lang w:eastAsia="en-AU"/>
        </w:rPr>
        <w:tab/>
        <w:t>The Chief Justice or other judge dealing with the matter may direct when, where and before whom the application is to be heard.</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7.</w:t>
      </w:r>
      <w:r w:rsidRPr="00172277">
        <w:rPr>
          <w:rFonts w:ascii="Arial" w:eastAsia="Times New Roman" w:hAnsi="Arial" w:cs="Arial"/>
          <w:b/>
          <w:bCs/>
          <w:sz w:val="24"/>
          <w:szCs w:val="24"/>
          <w:lang w:eastAsia="en-AU"/>
        </w:rPr>
        <w:tab/>
        <w:t>Conduct of hearing of review</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ab/>
        <w:t>The hearing of the review</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lastRenderedPageBreak/>
        <w:tab/>
        <w:t>(a)</w:t>
      </w:r>
      <w:r w:rsidRPr="00172277">
        <w:rPr>
          <w:rFonts w:ascii="Arial" w:eastAsia="Times New Roman" w:hAnsi="Arial" w:cs="Arial"/>
          <w:sz w:val="24"/>
          <w:szCs w:val="24"/>
          <w:lang w:eastAsia="en-AU"/>
        </w:rPr>
        <w:tab/>
      </w:r>
      <w:proofErr w:type="gramStart"/>
      <w:r w:rsidRPr="00172277">
        <w:rPr>
          <w:rFonts w:ascii="Arial" w:eastAsia="Times New Roman" w:hAnsi="Arial" w:cs="Arial"/>
          <w:sz w:val="24"/>
          <w:szCs w:val="24"/>
          <w:lang w:eastAsia="en-AU"/>
        </w:rPr>
        <w:t>will</w:t>
      </w:r>
      <w:proofErr w:type="gramEnd"/>
      <w:r w:rsidRPr="00172277">
        <w:rPr>
          <w:rFonts w:ascii="Arial" w:eastAsia="Times New Roman" w:hAnsi="Arial" w:cs="Arial"/>
          <w:sz w:val="24"/>
          <w:szCs w:val="24"/>
          <w:lang w:eastAsia="en-AU"/>
        </w:rPr>
        <w:t xml:space="preserve"> be strictly in camera;</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ab/>
        <w:t>(b)</w:t>
      </w:r>
      <w:r w:rsidRPr="00172277">
        <w:rPr>
          <w:rFonts w:ascii="Arial" w:eastAsia="Times New Roman" w:hAnsi="Arial" w:cs="Arial"/>
          <w:sz w:val="24"/>
          <w:szCs w:val="24"/>
          <w:lang w:eastAsia="en-AU"/>
        </w:rPr>
        <w:tab/>
      </w:r>
      <w:proofErr w:type="gramStart"/>
      <w:r w:rsidRPr="00172277">
        <w:rPr>
          <w:rFonts w:ascii="Arial" w:eastAsia="Times New Roman" w:hAnsi="Arial" w:cs="Arial"/>
          <w:sz w:val="24"/>
          <w:szCs w:val="24"/>
          <w:lang w:eastAsia="en-AU"/>
        </w:rPr>
        <w:t>will</w:t>
      </w:r>
      <w:proofErr w:type="gramEnd"/>
      <w:r w:rsidRPr="00172277">
        <w:rPr>
          <w:rFonts w:ascii="Arial" w:eastAsia="Times New Roman" w:hAnsi="Arial" w:cs="Arial"/>
          <w:sz w:val="24"/>
          <w:szCs w:val="24"/>
          <w:lang w:eastAsia="en-AU"/>
        </w:rPr>
        <w:t xml:space="preserve"> be recorded in transcript;  and</w:t>
      </w:r>
    </w:p>
    <w:p w:rsidR="00172277" w:rsidRPr="00172277" w:rsidRDefault="00172277" w:rsidP="00172277">
      <w:pPr>
        <w:tabs>
          <w:tab w:val="left" w:pos="851"/>
          <w:tab w:val="left" w:pos="1418"/>
          <w:tab w:val="left" w:pos="2126"/>
        </w:tabs>
        <w:spacing w:after="0" w:line="240" w:lineRule="auto"/>
        <w:ind w:left="1418" w:right="567" w:hanging="1418"/>
        <w:rPr>
          <w:rFonts w:ascii="Arial" w:eastAsia="Times New Roman" w:hAnsi="Arial" w:cs="Arial"/>
          <w:sz w:val="24"/>
          <w:szCs w:val="24"/>
          <w:lang w:eastAsia="en-AU"/>
        </w:rPr>
      </w:pPr>
      <w:r w:rsidRPr="00172277">
        <w:rPr>
          <w:rFonts w:ascii="Arial" w:eastAsia="Times New Roman" w:hAnsi="Arial" w:cs="Arial"/>
          <w:sz w:val="24"/>
          <w:szCs w:val="24"/>
          <w:lang w:eastAsia="en-AU"/>
        </w:rPr>
        <w:tab/>
        <w:t>(c)</w:t>
      </w:r>
      <w:r w:rsidRPr="00172277">
        <w:rPr>
          <w:rFonts w:ascii="Arial" w:eastAsia="Times New Roman" w:hAnsi="Arial" w:cs="Arial"/>
          <w:sz w:val="24"/>
          <w:szCs w:val="24"/>
          <w:lang w:eastAsia="en-AU"/>
        </w:rPr>
        <w:tab/>
      </w:r>
      <w:proofErr w:type="gramStart"/>
      <w:r w:rsidRPr="00172277">
        <w:rPr>
          <w:rFonts w:ascii="Arial" w:eastAsia="Times New Roman" w:hAnsi="Arial" w:cs="Arial"/>
          <w:sz w:val="24"/>
          <w:szCs w:val="24"/>
          <w:lang w:eastAsia="en-AU"/>
        </w:rPr>
        <w:t>shall</w:t>
      </w:r>
      <w:proofErr w:type="gramEnd"/>
      <w:r w:rsidRPr="00172277">
        <w:rPr>
          <w:rFonts w:ascii="Arial" w:eastAsia="Times New Roman" w:hAnsi="Arial" w:cs="Arial"/>
          <w:sz w:val="24"/>
          <w:szCs w:val="24"/>
          <w:lang w:eastAsia="en-AU"/>
        </w:rPr>
        <w:t xml:space="preserve"> otherwise be conducted in accordance with such directions as may be given by the Chief Justice or such other judge of the Court dealing with the matter, including a direction excluding any member of the public from the hearing of the review.  Such directions may include a direction that the review proceedings be conducted by audio visual link or audio link pursuant to s 17(2) of the Act.</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60" w:line="240" w:lineRule="auto"/>
        <w:ind w:right="567"/>
        <w:rPr>
          <w:rFonts w:ascii="Arial" w:eastAsia="Times New Roman" w:hAnsi="Arial" w:cs="Arial"/>
          <w:b/>
          <w:bCs/>
          <w:sz w:val="24"/>
          <w:szCs w:val="24"/>
          <w:lang w:eastAsia="en-AU"/>
        </w:rPr>
      </w:pPr>
      <w:r w:rsidRPr="00172277">
        <w:rPr>
          <w:rFonts w:ascii="Arial" w:eastAsia="Times New Roman" w:hAnsi="Arial" w:cs="Arial"/>
          <w:b/>
          <w:bCs/>
          <w:sz w:val="24"/>
          <w:szCs w:val="24"/>
          <w:lang w:eastAsia="en-AU"/>
        </w:rPr>
        <w:t>8.</w:t>
      </w:r>
      <w:r w:rsidRPr="00172277">
        <w:rPr>
          <w:rFonts w:ascii="Arial" w:eastAsia="Times New Roman" w:hAnsi="Arial" w:cs="Arial"/>
          <w:b/>
          <w:bCs/>
          <w:sz w:val="24"/>
          <w:szCs w:val="24"/>
          <w:lang w:eastAsia="en-AU"/>
        </w:rPr>
        <w:tab/>
        <w:t>Confidentiality</w:t>
      </w:r>
    </w:p>
    <w:p w:rsidR="00172277" w:rsidRPr="00172277" w:rsidRDefault="00172277" w:rsidP="00172277">
      <w:pPr>
        <w:tabs>
          <w:tab w:val="left" w:pos="851"/>
          <w:tab w:val="left" w:pos="1418"/>
          <w:tab w:val="left" w:pos="2126"/>
        </w:tabs>
        <w:spacing w:after="60" w:line="240" w:lineRule="auto"/>
        <w:ind w:left="851" w:right="567" w:hanging="851"/>
        <w:rPr>
          <w:rFonts w:ascii="Arial" w:eastAsia="Times New Roman" w:hAnsi="Arial" w:cs="Arial"/>
          <w:sz w:val="24"/>
          <w:szCs w:val="24"/>
          <w:lang w:eastAsia="en-AU"/>
        </w:rPr>
      </w:pPr>
      <w:r w:rsidRPr="00172277">
        <w:rPr>
          <w:rFonts w:ascii="Arial" w:eastAsia="Times New Roman" w:hAnsi="Arial" w:cs="Arial"/>
          <w:sz w:val="24"/>
          <w:szCs w:val="24"/>
          <w:lang w:eastAsia="en-AU"/>
        </w:rPr>
        <w:tab/>
        <w:t>On the conclusion of any such review, all papers or other records associated with the same</w:t>
      </w:r>
    </w:p>
    <w:p w:rsidR="00172277" w:rsidRPr="00172277" w:rsidRDefault="00172277" w:rsidP="00172277">
      <w:pPr>
        <w:tabs>
          <w:tab w:val="left" w:pos="851"/>
          <w:tab w:val="left" w:pos="1418"/>
          <w:tab w:val="left" w:pos="2126"/>
        </w:tabs>
        <w:spacing w:after="60" w:line="240" w:lineRule="auto"/>
        <w:ind w:left="1418" w:right="567" w:hanging="1418"/>
        <w:rPr>
          <w:rFonts w:ascii="Arial" w:eastAsia="Times New Roman" w:hAnsi="Arial" w:cs="Arial"/>
          <w:sz w:val="24"/>
          <w:szCs w:val="24"/>
          <w:lang w:eastAsia="en-AU"/>
        </w:rPr>
      </w:pPr>
      <w:r w:rsidRPr="00172277">
        <w:rPr>
          <w:rFonts w:ascii="Arial" w:eastAsia="Times New Roman" w:hAnsi="Arial" w:cs="Arial"/>
          <w:sz w:val="24"/>
          <w:szCs w:val="24"/>
          <w:lang w:eastAsia="en-AU"/>
        </w:rPr>
        <w:tab/>
        <w:t>(a)</w:t>
      </w:r>
      <w:r w:rsidRPr="00172277">
        <w:rPr>
          <w:rFonts w:ascii="Arial" w:eastAsia="Times New Roman" w:hAnsi="Arial" w:cs="Arial"/>
          <w:sz w:val="24"/>
          <w:szCs w:val="24"/>
          <w:lang w:eastAsia="en-AU"/>
        </w:rPr>
        <w:tab/>
      </w:r>
      <w:proofErr w:type="gramStart"/>
      <w:r w:rsidRPr="00172277">
        <w:rPr>
          <w:rFonts w:ascii="Arial" w:eastAsia="Times New Roman" w:hAnsi="Arial" w:cs="Arial"/>
          <w:sz w:val="24"/>
          <w:szCs w:val="24"/>
          <w:lang w:eastAsia="en-AU"/>
        </w:rPr>
        <w:t>shall</w:t>
      </w:r>
      <w:proofErr w:type="gramEnd"/>
      <w:r w:rsidRPr="00172277">
        <w:rPr>
          <w:rFonts w:ascii="Arial" w:eastAsia="Times New Roman" w:hAnsi="Arial" w:cs="Arial"/>
          <w:sz w:val="24"/>
          <w:szCs w:val="24"/>
          <w:lang w:eastAsia="en-AU"/>
        </w:rPr>
        <w:t xml:space="preserve"> be placed in the custody of the Registrar who shall keep them in a secure place, where no other person shall have access to them other than in accordance with an order of a Judge;</w:t>
      </w:r>
    </w:p>
    <w:p w:rsidR="00172277" w:rsidRPr="00172277" w:rsidRDefault="00172277" w:rsidP="00172277">
      <w:pPr>
        <w:tabs>
          <w:tab w:val="left" w:pos="851"/>
          <w:tab w:val="left" w:pos="1418"/>
          <w:tab w:val="left" w:pos="2126"/>
        </w:tabs>
        <w:spacing w:after="0" w:line="240" w:lineRule="auto"/>
        <w:ind w:left="1418" w:right="567" w:hanging="1418"/>
        <w:rPr>
          <w:rFonts w:ascii="Arial" w:eastAsia="Times New Roman" w:hAnsi="Arial" w:cs="Arial"/>
          <w:sz w:val="24"/>
          <w:szCs w:val="24"/>
          <w:lang w:eastAsia="en-AU"/>
        </w:rPr>
      </w:pPr>
      <w:r w:rsidRPr="00172277">
        <w:rPr>
          <w:rFonts w:ascii="Arial" w:eastAsia="Times New Roman" w:hAnsi="Arial" w:cs="Arial"/>
          <w:sz w:val="24"/>
          <w:szCs w:val="24"/>
          <w:lang w:eastAsia="en-AU"/>
        </w:rPr>
        <w:tab/>
        <w:t>(b)</w:t>
      </w:r>
      <w:r w:rsidRPr="00172277">
        <w:rPr>
          <w:rFonts w:ascii="Arial" w:eastAsia="Times New Roman" w:hAnsi="Arial" w:cs="Arial"/>
          <w:sz w:val="24"/>
          <w:szCs w:val="24"/>
          <w:lang w:eastAsia="en-AU"/>
        </w:rPr>
        <w:tab/>
      </w:r>
      <w:proofErr w:type="gramStart"/>
      <w:r w:rsidRPr="00172277">
        <w:rPr>
          <w:rFonts w:ascii="Arial" w:eastAsia="Times New Roman" w:hAnsi="Arial" w:cs="Arial"/>
          <w:sz w:val="24"/>
          <w:szCs w:val="24"/>
          <w:lang w:eastAsia="en-AU"/>
        </w:rPr>
        <w:t>shall</w:t>
      </w:r>
      <w:proofErr w:type="gramEnd"/>
      <w:r w:rsidRPr="00172277">
        <w:rPr>
          <w:rFonts w:ascii="Arial" w:eastAsia="Times New Roman" w:hAnsi="Arial" w:cs="Arial"/>
          <w:sz w:val="24"/>
          <w:szCs w:val="24"/>
          <w:lang w:eastAsia="en-AU"/>
        </w:rPr>
        <w:t xml:space="preserve"> otherwise be dealt with in accordance with such directions as may be given by the Court to ensure that they remain confidential to the parties to the review.</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172277" w:rsidRPr="00172277" w:rsidRDefault="00172277" w:rsidP="00172277">
      <w:pPr>
        <w:tabs>
          <w:tab w:val="left" w:pos="851"/>
          <w:tab w:val="left" w:pos="1418"/>
          <w:tab w:val="left" w:pos="2126"/>
        </w:tabs>
        <w:spacing w:after="0" w:line="240" w:lineRule="auto"/>
        <w:ind w:right="567"/>
        <w:rPr>
          <w:rFonts w:ascii="Arial" w:eastAsia="Times New Roman" w:hAnsi="Arial" w:cs="Arial"/>
          <w:sz w:val="24"/>
          <w:szCs w:val="24"/>
          <w:lang w:eastAsia="en-AU"/>
        </w:rPr>
      </w:pPr>
      <w:r w:rsidRPr="00172277">
        <w:rPr>
          <w:rFonts w:ascii="Arial" w:eastAsia="Times New Roman" w:hAnsi="Arial" w:cs="Arial"/>
          <w:sz w:val="24"/>
          <w:szCs w:val="24"/>
          <w:lang w:eastAsia="en-AU"/>
        </w:rPr>
        <w:t> </w:t>
      </w:r>
    </w:p>
    <w:p w:rsidR="004F7A7A" w:rsidRDefault="00172277"/>
    <w:sectPr w:rsidR="004F7A7A" w:rsidSect="000809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172277"/>
    <w:rsid w:val="000809F6"/>
    <w:rsid w:val="00143B48"/>
    <w:rsid w:val="00172277"/>
    <w:rsid w:val="003E3513"/>
    <w:rsid w:val="004F006F"/>
    <w:rsid w:val="007C52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277"/>
    <w:rPr>
      <w:color w:val="0000FF"/>
      <w:u w:val="single"/>
    </w:rPr>
  </w:style>
</w:styles>
</file>

<file path=word/webSettings.xml><?xml version="1.0" encoding="utf-8"?>
<w:webSettings xmlns:r="http://schemas.openxmlformats.org/officeDocument/2006/relationships" xmlns:w="http://schemas.openxmlformats.org/wordprocessingml/2006/main">
  <w:divs>
    <w:div w:id="13390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DC54F-72E0-4C9F-9754-C3D7EAA6447B}"/>
</file>

<file path=customXml/itemProps2.xml><?xml version="1.0" encoding="utf-8"?>
<ds:datastoreItem xmlns:ds="http://schemas.openxmlformats.org/officeDocument/2006/customXml" ds:itemID="{C986DE24-7C93-402A-8669-086FD8528C36}"/>
</file>

<file path=customXml/itemProps3.xml><?xml version="1.0" encoding="utf-8"?>
<ds:datastoreItem xmlns:ds="http://schemas.openxmlformats.org/officeDocument/2006/customXml" ds:itemID="{7E4412DE-1E33-48E3-8FBE-C79F411CBA2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2423</Characters>
  <Application>Microsoft Office Word</Application>
  <DocSecurity>0</DocSecurity>
  <Lines>20</Lines>
  <Paragraphs>5</Paragraphs>
  <ScaleCrop>false</ScaleCrop>
  <Company>Courts Administration Authority</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(Preventative Detention) (Supreme Court) Rules 2006</dc:title>
  <dc:subject>Terrorism (Preventative Detention) (Supreme Court) Rules 2006</dc:subject>
  <dc:creator>Courts Administration Authority</dc:creator>
  <cp:lastModifiedBy>kcsrnw</cp:lastModifiedBy>
  <cp:revision>1</cp:revision>
  <dcterms:created xsi:type="dcterms:W3CDTF">2012-07-13T04:22:00Z</dcterms:created>
  <dcterms:modified xsi:type="dcterms:W3CDTF">2012-07-13T04:28:00Z</dcterms:modified>
</cp:coreProperties>
</file>